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1" w:firstLineChars="100"/>
        <w:jc w:val="center"/>
        <w:rPr>
          <w:b/>
          <w:sz w:val="36"/>
          <w:szCs w:val="36"/>
        </w:rPr>
      </w:pPr>
      <w:bookmarkStart w:id="0" w:name="_Toc158691774"/>
      <w:bookmarkStart w:id="1" w:name="_Toc315875321"/>
      <w:bookmarkStart w:id="2" w:name="_Toc315868058"/>
      <w:bookmarkStart w:id="3" w:name="_Toc53478761"/>
    </w:p>
    <w:p>
      <w:pPr>
        <w:ind w:firstLine="361" w:firstLineChars="100"/>
        <w:jc w:val="center"/>
        <w:rPr>
          <w:b/>
          <w:sz w:val="36"/>
          <w:szCs w:val="36"/>
        </w:rPr>
      </w:pPr>
    </w:p>
    <w:p>
      <w:pPr>
        <w:pStyle w:val="18"/>
        <w:spacing w:line="360" w:lineRule="auto"/>
        <w:jc w:val="center"/>
        <w:rPr>
          <w:rFonts w:ascii="宋体" w:hAnsi="宋体" w:cs="宋体"/>
          <w:b/>
          <w:sz w:val="44"/>
          <w:szCs w:val="48"/>
        </w:rPr>
      </w:pPr>
      <w:r>
        <w:rPr>
          <w:rFonts w:hint="eastAsia" w:ascii="宋体" w:hAnsi="宋体" w:cs="宋体"/>
          <w:b/>
          <w:sz w:val="44"/>
          <w:szCs w:val="48"/>
        </w:rPr>
        <w:t>技术规格书</w:t>
      </w:r>
    </w:p>
    <w:p>
      <w:pPr>
        <w:pStyle w:val="18"/>
        <w:spacing w:line="360" w:lineRule="auto"/>
        <w:jc w:val="center"/>
        <w:rPr>
          <w:rFonts w:ascii="宋体" w:hAnsi="宋体" w:cs="宋体"/>
          <w:b/>
          <w:sz w:val="44"/>
          <w:szCs w:val="48"/>
        </w:rPr>
      </w:pPr>
    </w:p>
    <w:p>
      <w:pPr>
        <w:pStyle w:val="18"/>
        <w:spacing w:line="360" w:lineRule="auto"/>
        <w:jc w:val="center"/>
        <w:rPr>
          <w:rFonts w:ascii="宋体" w:hAnsi="宋体" w:cs="宋体"/>
          <w:b/>
          <w:sz w:val="44"/>
          <w:szCs w:val="48"/>
        </w:rPr>
      </w:pPr>
    </w:p>
    <w:p>
      <w:pPr>
        <w:pStyle w:val="18"/>
        <w:spacing w:line="360" w:lineRule="auto"/>
        <w:jc w:val="center"/>
        <w:rPr>
          <w:rFonts w:ascii="宋体" w:hAnsi="宋体" w:cs="宋体"/>
          <w:b/>
          <w:sz w:val="44"/>
          <w:szCs w:val="48"/>
        </w:rPr>
      </w:pPr>
    </w:p>
    <w:p>
      <w:pPr>
        <w:pStyle w:val="18"/>
        <w:spacing w:line="360" w:lineRule="auto"/>
        <w:jc w:val="center"/>
        <w:rPr>
          <w:rFonts w:ascii="宋体" w:hAnsi="宋体" w:cs="宋体"/>
          <w:b/>
          <w:sz w:val="44"/>
          <w:szCs w:val="48"/>
        </w:rPr>
      </w:pPr>
    </w:p>
    <w:p>
      <w:pPr>
        <w:pStyle w:val="18"/>
        <w:spacing w:line="360" w:lineRule="auto"/>
        <w:jc w:val="center"/>
        <w:rPr>
          <w:rFonts w:ascii="宋体" w:hAnsi="宋体" w:cs="宋体"/>
          <w:b/>
          <w:sz w:val="44"/>
          <w:szCs w:val="48"/>
        </w:rPr>
      </w:pPr>
    </w:p>
    <w:p>
      <w:pPr>
        <w:ind w:firstLine="321" w:firstLineChars="100"/>
        <w:jc w:val="center"/>
        <w:rPr>
          <w:b/>
          <w:sz w:val="32"/>
          <w:szCs w:val="32"/>
        </w:rPr>
      </w:pPr>
      <w:r>
        <w:rPr>
          <w:rFonts w:hint="eastAsia"/>
          <w:b/>
          <w:sz w:val="32"/>
          <w:szCs w:val="32"/>
        </w:rPr>
        <w:t>广州基地2</w:t>
      </w:r>
      <w:r>
        <w:rPr>
          <w:b/>
          <w:sz w:val="32"/>
          <w:szCs w:val="32"/>
        </w:rPr>
        <w:t>026</w:t>
      </w:r>
      <w:r>
        <w:rPr>
          <w:rFonts w:hint="eastAsia"/>
          <w:b/>
          <w:sz w:val="32"/>
          <w:szCs w:val="32"/>
        </w:rPr>
        <w:t>年可回收废品采购</w:t>
      </w:r>
      <w:r>
        <w:rPr>
          <w:b/>
          <w:sz w:val="32"/>
          <w:szCs w:val="32"/>
        </w:rPr>
        <w:t>项目</w:t>
      </w:r>
    </w:p>
    <w:p>
      <w:pPr>
        <w:pStyle w:val="18"/>
        <w:spacing w:line="360" w:lineRule="auto"/>
        <w:jc w:val="center"/>
        <w:rPr>
          <w:rFonts w:ascii="宋体" w:hAnsi="宋体" w:cs="宋体"/>
          <w:b/>
          <w:sz w:val="44"/>
          <w:szCs w:val="48"/>
        </w:rPr>
      </w:pPr>
    </w:p>
    <w:p>
      <w:pPr>
        <w:ind w:firstLine="361" w:firstLineChars="100"/>
        <w:rPr>
          <w:b/>
          <w:sz w:val="36"/>
          <w:szCs w:val="36"/>
        </w:rPr>
      </w:pPr>
    </w:p>
    <w:p>
      <w:pPr>
        <w:rPr>
          <w:bCs/>
          <w:sz w:val="32"/>
          <w:szCs w:val="32"/>
        </w:rPr>
      </w:pPr>
    </w:p>
    <w:p>
      <w:pPr>
        <w:rPr>
          <w:b/>
          <w:sz w:val="28"/>
          <w:szCs w:val="28"/>
        </w:rPr>
      </w:pPr>
    </w:p>
    <w:p>
      <w:pPr>
        <w:jc w:val="center"/>
        <w:rPr>
          <w:b/>
          <w:sz w:val="28"/>
          <w:szCs w:val="28"/>
        </w:rPr>
      </w:pPr>
    </w:p>
    <w:p>
      <w:pPr>
        <w:jc w:val="center"/>
        <w:rPr>
          <w:b/>
          <w:sz w:val="28"/>
          <w:szCs w:val="28"/>
        </w:rPr>
      </w:pPr>
    </w:p>
    <w:p>
      <w:pPr>
        <w:rPr>
          <w:b/>
          <w:sz w:val="28"/>
          <w:szCs w:val="28"/>
        </w:rPr>
      </w:pPr>
    </w:p>
    <w:p>
      <w:pPr>
        <w:jc w:val="right"/>
        <w:rPr>
          <w:bCs/>
          <w:sz w:val="28"/>
          <w:szCs w:val="28"/>
        </w:rPr>
      </w:pPr>
      <w:r>
        <w:rPr>
          <w:rFonts w:hint="eastAsia"/>
          <w:b/>
          <w:sz w:val="28"/>
          <w:szCs w:val="28"/>
        </w:rPr>
        <w:t xml:space="preserve"> </w:t>
      </w:r>
      <w:r>
        <w:rPr>
          <w:b/>
          <w:sz w:val="28"/>
          <w:szCs w:val="28"/>
        </w:rPr>
        <w:t xml:space="preserve">                      </w:t>
      </w:r>
      <w:r>
        <w:rPr>
          <w:sz w:val="28"/>
          <w:szCs w:val="28"/>
        </w:rPr>
        <w:t xml:space="preserve">   </w:t>
      </w:r>
      <w:r>
        <w:rPr>
          <w:rFonts w:hint="eastAsia"/>
          <w:sz w:val="28"/>
          <w:szCs w:val="28"/>
        </w:rPr>
        <w:t>广州</w:t>
      </w:r>
      <w:r>
        <w:rPr>
          <w:bCs/>
          <w:sz w:val="28"/>
          <w:szCs w:val="28"/>
        </w:rPr>
        <w:t>孚能科技有限公司</w:t>
      </w:r>
    </w:p>
    <w:p>
      <w:pPr>
        <w:jc w:val="right"/>
        <w:rPr>
          <w:bCs/>
          <w:sz w:val="28"/>
          <w:szCs w:val="28"/>
        </w:rPr>
      </w:pPr>
      <w:r>
        <w:rPr>
          <w:bCs/>
          <w:sz w:val="28"/>
          <w:szCs w:val="28"/>
        </w:rPr>
        <w:t>二〇</w:t>
      </w:r>
      <w:r>
        <w:rPr>
          <w:rFonts w:hint="eastAsia"/>
          <w:bCs/>
          <w:sz w:val="28"/>
          <w:szCs w:val="28"/>
        </w:rPr>
        <w:t>二六</w:t>
      </w:r>
      <w:r>
        <w:rPr>
          <w:bCs/>
          <w:sz w:val="28"/>
          <w:szCs w:val="28"/>
        </w:rPr>
        <w:t>年</w:t>
      </w:r>
      <w:r>
        <w:rPr>
          <w:rFonts w:hint="eastAsia"/>
          <w:bCs/>
          <w:sz w:val="28"/>
          <w:szCs w:val="28"/>
        </w:rPr>
        <w:t>一</w:t>
      </w:r>
      <w:r>
        <w:rPr>
          <w:bCs/>
          <w:sz w:val="28"/>
          <w:szCs w:val="28"/>
        </w:rPr>
        <w:t>月</w:t>
      </w:r>
      <w:r>
        <w:rPr>
          <w:rFonts w:hint="eastAsia"/>
          <w:bCs/>
          <w:sz w:val="28"/>
          <w:szCs w:val="28"/>
        </w:rPr>
        <w:t>十二</w:t>
      </w:r>
      <w:r>
        <w:rPr>
          <w:bCs/>
          <w:sz w:val="28"/>
          <w:szCs w:val="28"/>
        </w:rPr>
        <w:t>日</w:t>
      </w:r>
    </w:p>
    <w:p>
      <w:pPr>
        <w:ind w:firstLine="5040" w:firstLineChars="1800"/>
        <w:jc w:val="right"/>
        <w:rPr>
          <w:bCs/>
          <w:sz w:val="28"/>
          <w:szCs w:val="28"/>
        </w:rPr>
      </w:pPr>
    </w:p>
    <w:p>
      <w:pPr>
        <w:widowControl/>
        <w:jc w:val="left"/>
      </w:pPr>
    </w:p>
    <w:p>
      <w:pPr>
        <w:widowControl/>
        <w:jc w:val="left"/>
      </w:pPr>
    </w:p>
    <w:p>
      <w:pPr>
        <w:widowControl/>
        <w:jc w:val="left"/>
      </w:pPr>
    </w:p>
    <w:p>
      <w:pPr>
        <w:widowControl/>
        <w:jc w:val="left"/>
        <w:rPr>
          <w:sz w:val="24"/>
          <w:szCs w:val="24"/>
        </w:rPr>
      </w:pPr>
      <w:r>
        <w:rPr>
          <w:rFonts w:hint="eastAsia"/>
          <w:sz w:val="24"/>
          <w:szCs w:val="24"/>
        </w:rPr>
        <w:t xml:space="preserve"> </w:t>
      </w:r>
      <w:r>
        <w:rPr>
          <w:sz w:val="24"/>
          <w:szCs w:val="24"/>
        </w:rPr>
        <w:t xml:space="preserve">  </w:t>
      </w:r>
    </w:p>
    <w:p>
      <w:pPr>
        <w:widowControl/>
        <w:jc w:val="left"/>
        <w:rPr>
          <w:sz w:val="24"/>
          <w:szCs w:val="24"/>
        </w:rPr>
      </w:pPr>
      <w:r>
        <w:rPr>
          <w:rFonts w:hint="eastAsia"/>
          <w:sz w:val="24"/>
          <w:szCs w:val="24"/>
        </w:rPr>
        <w:t xml:space="preserve">编制：  </w:t>
      </w:r>
      <w:r>
        <w:rPr>
          <w:sz w:val="24"/>
          <w:szCs w:val="24"/>
        </w:rPr>
        <w:t xml:space="preserve">                      </w:t>
      </w:r>
      <w:r>
        <w:rPr>
          <w:rFonts w:hint="eastAsia"/>
          <w:sz w:val="24"/>
          <w:szCs w:val="24"/>
        </w:rPr>
        <w:t>审核：</w:t>
      </w:r>
      <w:r>
        <w:rPr>
          <w:sz w:val="24"/>
          <w:szCs w:val="24"/>
        </w:rPr>
        <w:t xml:space="preserve">          </w:t>
      </w:r>
      <w:r>
        <w:rPr>
          <w:rFonts w:hint="eastAsia"/>
          <w:sz w:val="24"/>
          <w:szCs w:val="24"/>
        </w:rPr>
        <w:t xml:space="preserve"> </w:t>
      </w:r>
      <w:r>
        <w:rPr>
          <w:sz w:val="24"/>
          <w:szCs w:val="24"/>
        </w:rPr>
        <w:t xml:space="preserve">           </w:t>
      </w:r>
      <w:r>
        <w:rPr>
          <w:rFonts w:hint="eastAsia"/>
          <w:sz w:val="24"/>
          <w:szCs w:val="24"/>
        </w:rPr>
        <w:t>审批：</w:t>
      </w:r>
    </w:p>
    <w:bookmarkEnd w:id="0"/>
    <w:bookmarkEnd w:id="1"/>
    <w:bookmarkEnd w:id="2"/>
    <w:bookmarkEnd w:id="3"/>
    <w:p>
      <w:pPr>
        <w:spacing w:line="360" w:lineRule="auto"/>
        <w:rPr>
          <w:b/>
          <w:sz w:val="24"/>
          <w:szCs w:val="24"/>
          <w:lang w:bidi="ar"/>
        </w:rPr>
      </w:pPr>
    </w:p>
    <w:p>
      <w:pPr>
        <w:spacing w:line="440" w:lineRule="exact"/>
        <w:rPr>
          <w:rFonts w:ascii="宋体" w:hAnsi="宋体"/>
          <w:b/>
          <w:bCs/>
          <w:sz w:val="24"/>
          <w:szCs w:val="24"/>
        </w:rPr>
      </w:pPr>
      <w:r>
        <w:rPr>
          <w:rFonts w:hint="eastAsia" w:ascii="宋体" w:hAnsi="宋体"/>
          <w:b/>
          <w:bCs/>
          <w:sz w:val="24"/>
          <w:szCs w:val="24"/>
        </w:rPr>
        <w:t>一、项目背景</w:t>
      </w:r>
    </w:p>
    <w:p>
      <w:pPr>
        <w:spacing w:line="440" w:lineRule="exact"/>
        <w:ind w:firstLine="480" w:firstLineChars="200"/>
        <w:rPr>
          <w:rFonts w:ascii="宋体" w:hAnsi="宋体"/>
          <w:bCs/>
          <w:sz w:val="24"/>
          <w:szCs w:val="24"/>
        </w:rPr>
      </w:pPr>
      <w:r>
        <w:rPr>
          <w:rFonts w:hint="eastAsia" w:ascii="宋体" w:hAnsi="宋体"/>
          <w:bCs/>
          <w:sz w:val="24"/>
          <w:szCs w:val="24"/>
        </w:rPr>
        <w:t>广州孚能科技有限公司（以下简称“我司”）2026年可回收废品采购项目。</w:t>
      </w:r>
    </w:p>
    <w:p>
      <w:pPr>
        <w:spacing w:line="440" w:lineRule="exact"/>
        <w:rPr>
          <w:rFonts w:ascii="宋体" w:hAnsi="宋体"/>
          <w:b/>
          <w:bCs/>
          <w:sz w:val="24"/>
          <w:szCs w:val="24"/>
        </w:rPr>
      </w:pPr>
      <w:r>
        <w:rPr>
          <w:rFonts w:hint="eastAsia" w:ascii="宋体" w:hAnsi="宋体"/>
          <w:b/>
          <w:bCs/>
          <w:sz w:val="24"/>
          <w:szCs w:val="24"/>
        </w:rPr>
        <w:t>二、</w:t>
      </w:r>
      <w:r>
        <w:rPr>
          <w:rFonts w:ascii="宋体" w:hAnsi="宋体"/>
          <w:b/>
          <w:bCs/>
          <w:sz w:val="24"/>
          <w:szCs w:val="24"/>
        </w:rPr>
        <w:t>项目</w:t>
      </w:r>
      <w:r>
        <w:rPr>
          <w:rFonts w:hint="eastAsia" w:ascii="宋体" w:hAnsi="宋体"/>
          <w:b/>
          <w:bCs/>
          <w:sz w:val="24"/>
          <w:szCs w:val="24"/>
        </w:rPr>
        <w:t>范围</w:t>
      </w:r>
    </w:p>
    <w:p>
      <w:pPr>
        <w:spacing w:line="440" w:lineRule="exact"/>
        <w:ind w:firstLine="480" w:firstLineChars="200"/>
        <w:rPr>
          <w:rFonts w:ascii="宋体" w:hAnsi="宋体"/>
          <w:bCs/>
          <w:sz w:val="24"/>
          <w:szCs w:val="24"/>
        </w:rPr>
      </w:pPr>
      <w:r>
        <w:rPr>
          <w:rFonts w:hint="eastAsia" w:ascii="宋体" w:hAnsi="宋体" w:cs="宋体"/>
          <w:sz w:val="24"/>
          <w:szCs w:val="24"/>
        </w:rPr>
        <w:t>1、根据本年度我司生产过程中产生的废料进行合规回收、转运、处置。</w:t>
      </w:r>
    </w:p>
    <w:p>
      <w:pPr>
        <w:spacing w:line="440" w:lineRule="exact"/>
        <w:ind w:firstLine="480" w:firstLineChars="200"/>
        <w:rPr>
          <w:rFonts w:cs="宋体"/>
        </w:rPr>
      </w:pPr>
      <w:r>
        <w:rPr>
          <w:rFonts w:hint="eastAsia" w:ascii="宋体" w:hAnsi="宋体" w:cs="宋体"/>
          <w:sz w:val="24"/>
          <w:szCs w:val="24"/>
        </w:rPr>
        <w:t>2、处置内容：</w:t>
      </w:r>
    </w:p>
    <w:tbl>
      <w:tblPr>
        <w:tblStyle w:val="8"/>
        <w:tblW w:w="8981" w:type="dxa"/>
        <w:tblInd w:w="98" w:type="dxa"/>
        <w:tblLayout w:type="fixed"/>
        <w:tblCellMar>
          <w:top w:w="0" w:type="dxa"/>
          <w:left w:w="108" w:type="dxa"/>
          <w:bottom w:w="0" w:type="dxa"/>
          <w:right w:w="108" w:type="dxa"/>
        </w:tblCellMar>
      </w:tblPr>
      <w:tblGrid>
        <w:gridCol w:w="783"/>
        <w:gridCol w:w="1660"/>
        <w:gridCol w:w="1990"/>
        <w:gridCol w:w="1276"/>
        <w:gridCol w:w="3272"/>
      </w:tblGrid>
      <w:tr>
        <w:tblPrEx>
          <w:tblLayout w:type="fixed"/>
          <w:tblCellMar>
            <w:top w:w="0" w:type="dxa"/>
            <w:left w:w="108" w:type="dxa"/>
            <w:bottom w:w="0" w:type="dxa"/>
            <w:right w:w="108" w:type="dxa"/>
          </w:tblCellMar>
        </w:tblPrEx>
        <w:trPr>
          <w:trHeight w:val="680"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kern w:val="0"/>
                <w:sz w:val="22"/>
                <w:szCs w:val="22"/>
                <w:lang w:bidi="ar"/>
              </w:rPr>
            </w:pPr>
            <w:r>
              <w:rPr>
                <w:rFonts w:hint="eastAsia" w:ascii="宋体" w:hAnsi="宋体" w:cs="宋体"/>
                <w:b/>
                <w:bCs/>
                <w:kern w:val="0"/>
                <w:sz w:val="22"/>
                <w:szCs w:val="22"/>
                <w:lang w:bidi="ar"/>
              </w:rPr>
              <w:t>序号</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kern w:val="0"/>
                <w:sz w:val="22"/>
                <w:szCs w:val="22"/>
                <w:lang w:bidi="ar"/>
              </w:rPr>
            </w:pPr>
            <w:r>
              <w:rPr>
                <w:rFonts w:hint="eastAsia" w:ascii="宋体" w:hAnsi="宋体" w:cs="宋体"/>
                <w:b/>
                <w:bCs/>
                <w:kern w:val="0"/>
                <w:sz w:val="22"/>
                <w:szCs w:val="22"/>
                <w:lang w:bidi="ar"/>
              </w:rPr>
              <w:t>物料编码</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kern w:val="0"/>
                <w:sz w:val="22"/>
                <w:szCs w:val="22"/>
                <w:lang w:bidi="ar"/>
              </w:rPr>
            </w:pPr>
            <w:r>
              <w:rPr>
                <w:rFonts w:hint="eastAsia" w:ascii="宋体" w:hAnsi="宋体" w:cs="宋体"/>
                <w:b/>
                <w:bCs/>
                <w:kern w:val="0"/>
                <w:sz w:val="22"/>
                <w:szCs w:val="22"/>
                <w:lang w:bidi="ar"/>
              </w:rPr>
              <w:t>物料名称</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kern w:val="0"/>
                <w:sz w:val="22"/>
                <w:szCs w:val="22"/>
                <w:lang w:bidi="ar"/>
              </w:rPr>
            </w:pPr>
            <w:r>
              <w:rPr>
                <w:rFonts w:hint="eastAsia" w:ascii="宋体" w:hAnsi="宋体" w:cs="宋体"/>
                <w:b/>
                <w:bCs/>
                <w:kern w:val="0"/>
                <w:sz w:val="22"/>
                <w:szCs w:val="22"/>
                <w:lang w:bidi="ar"/>
              </w:rPr>
              <w:t>库存预估量（KG）</w:t>
            </w:r>
          </w:p>
        </w:tc>
        <w:tc>
          <w:tcPr>
            <w:tcW w:w="3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kern w:val="0"/>
                <w:sz w:val="22"/>
                <w:szCs w:val="22"/>
                <w:lang w:bidi="ar"/>
              </w:rPr>
            </w:pPr>
            <w:r>
              <w:rPr>
                <w:rFonts w:hint="eastAsia" w:ascii="宋体" w:hAnsi="宋体" w:cs="宋体"/>
                <w:b/>
                <w:bCs/>
                <w:kern w:val="0"/>
                <w:sz w:val="22"/>
                <w:szCs w:val="22"/>
                <w:lang w:bidi="ar"/>
              </w:rPr>
              <w:t>备注</w:t>
            </w:r>
          </w:p>
        </w:tc>
      </w:tr>
      <w:tr>
        <w:tblPrEx>
          <w:tblLayout w:type="fixed"/>
          <w:tblCellMar>
            <w:top w:w="0" w:type="dxa"/>
            <w:left w:w="108" w:type="dxa"/>
            <w:bottom w:w="0" w:type="dxa"/>
            <w:right w:w="108" w:type="dxa"/>
          </w:tblCellMar>
        </w:tblPrEx>
        <w:trPr>
          <w:trHeight w:val="680"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1</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t>7000000519</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正极废浆料</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kern w:val="0"/>
                <w:sz w:val="22"/>
                <w:szCs w:val="22"/>
                <w:lang w:bidi="ar"/>
              </w:rPr>
            </w:pPr>
            <w:r>
              <w:rPr>
                <w:rFonts w:ascii="宋体" w:hAnsi="宋体" w:cs="宋体"/>
                <w:kern w:val="0"/>
                <w:sz w:val="22"/>
                <w:szCs w:val="22"/>
                <w:lang w:bidi="ar"/>
              </w:rPr>
              <w:t>280</w:t>
            </w:r>
            <w:r>
              <w:rPr>
                <w:rFonts w:hint="eastAsia" w:ascii="宋体" w:hAnsi="宋体" w:cs="宋体"/>
                <w:kern w:val="0"/>
                <w:sz w:val="22"/>
                <w:szCs w:val="22"/>
                <w:lang w:val="en-US" w:eastAsia="zh-CN" w:bidi="ar"/>
              </w:rPr>
              <w:t>,</w:t>
            </w:r>
            <w:r>
              <w:rPr>
                <w:rFonts w:ascii="宋体" w:hAnsi="宋体" w:cs="宋体"/>
                <w:kern w:val="0"/>
                <w:sz w:val="22"/>
                <w:szCs w:val="22"/>
                <w:lang w:bidi="ar"/>
              </w:rPr>
              <w:t>000</w:t>
            </w:r>
          </w:p>
        </w:tc>
        <w:tc>
          <w:tcPr>
            <w:tcW w:w="3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kern w:val="0"/>
                <w:sz w:val="22"/>
                <w:szCs w:val="22"/>
                <w:lang w:bidi="ar"/>
              </w:rPr>
            </w:pPr>
            <w:r>
              <w:rPr>
                <w:rFonts w:ascii="宋体" w:hAnsi="宋体" w:cs="宋体"/>
                <w:kern w:val="0"/>
                <w:sz w:val="22"/>
                <w:szCs w:val="22"/>
                <w:lang w:bidi="ar"/>
              </w:rPr>
              <w:t>NMP</w:t>
            </w:r>
            <w:r>
              <w:rPr>
                <w:rFonts w:hint="eastAsia" w:ascii="宋体" w:hAnsi="宋体" w:cs="宋体"/>
                <w:kern w:val="0"/>
                <w:sz w:val="22"/>
                <w:szCs w:val="22"/>
                <w:lang w:bidi="ar"/>
              </w:rPr>
              <w:t>浓度约9</w:t>
            </w:r>
            <w:r>
              <w:rPr>
                <w:rFonts w:ascii="宋体" w:hAnsi="宋体" w:cs="宋体"/>
                <w:kern w:val="0"/>
                <w:sz w:val="22"/>
                <w:szCs w:val="22"/>
                <w:lang w:bidi="ar"/>
              </w:rPr>
              <w:t>0%-94%</w:t>
            </w:r>
            <w:r>
              <w:rPr>
                <w:rFonts w:hint="eastAsia" w:ascii="宋体" w:hAnsi="宋体" w:cs="宋体"/>
                <w:kern w:val="0"/>
                <w:sz w:val="22"/>
                <w:szCs w:val="22"/>
                <w:lang w:bidi="ar"/>
              </w:rPr>
              <w:t>；浆料锂含量约2</w:t>
            </w:r>
            <w:r>
              <w:rPr>
                <w:rFonts w:ascii="宋体" w:hAnsi="宋体" w:cs="宋体"/>
                <w:kern w:val="0"/>
                <w:sz w:val="22"/>
                <w:szCs w:val="22"/>
                <w:lang w:bidi="ar"/>
              </w:rPr>
              <w:t>%</w:t>
            </w:r>
            <w:r>
              <w:rPr>
                <w:rFonts w:hint="eastAsia" w:ascii="宋体" w:hAnsi="宋体" w:cs="宋体"/>
                <w:kern w:val="0"/>
                <w:sz w:val="22"/>
                <w:szCs w:val="22"/>
                <w:lang w:bidi="ar"/>
              </w:rPr>
              <w:t>；浆料占比【浆料/</w:t>
            </w:r>
            <w:r>
              <w:rPr>
                <w:rFonts w:ascii="宋体" w:hAnsi="宋体" w:cs="宋体"/>
                <w:kern w:val="0"/>
                <w:sz w:val="22"/>
                <w:szCs w:val="22"/>
                <w:lang w:bidi="ar"/>
              </w:rPr>
              <w:t>(</w:t>
            </w:r>
            <w:r>
              <w:rPr>
                <w:rFonts w:hint="eastAsia" w:ascii="宋体" w:hAnsi="宋体" w:cs="宋体"/>
                <w:kern w:val="0"/>
                <w:sz w:val="22"/>
                <w:szCs w:val="22"/>
                <w:lang w:bidi="ar"/>
              </w:rPr>
              <w:t>浆料+</w:t>
            </w:r>
            <w:r>
              <w:rPr>
                <w:rFonts w:ascii="宋体" w:hAnsi="宋体" w:cs="宋体"/>
                <w:kern w:val="0"/>
                <w:sz w:val="22"/>
                <w:szCs w:val="22"/>
                <w:lang w:bidi="ar"/>
              </w:rPr>
              <w:t>NMP</w:t>
            </w:r>
            <w:r>
              <w:rPr>
                <w:rFonts w:hint="eastAsia" w:ascii="宋体" w:hAnsi="宋体" w:cs="宋体"/>
                <w:kern w:val="0"/>
                <w:sz w:val="22"/>
                <w:szCs w:val="22"/>
                <w:lang w:bidi="ar"/>
              </w:rPr>
              <w:t>废液)】约1</w:t>
            </w:r>
            <w:r>
              <w:rPr>
                <w:rFonts w:ascii="宋体" w:hAnsi="宋体" w:cs="宋体"/>
                <w:kern w:val="0"/>
                <w:sz w:val="22"/>
                <w:szCs w:val="22"/>
                <w:lang w:bidi="ar"/>
              </w:rPr>
              <w:t>0-20%</w:t>
            </w:r>
            <w:r>
              <w:rPr>
                <w:rFonts w:hint="eastAsia" w:ascii="宋体" w:hAnsi="宋体" w:cs="宋体"/>
                <w:kern w:val="0"/>
                <w:sz w:val="22"/>
                <w:szCs w:val="22"/>
                <w:lang w:bidi="ar"/>
              </w:rPr>
              <w:t>。</w:t>
            </w:r>
          </w:p>
        </w:tc>
      </w:tr>
    </w:tbl>
    <w:p>
      <w:pPr>
        <w:pStyle w:val="7"/>
        <w:widowControl w:val="0"/>
        <w:spacing w:before="0" w:beforeAutospacing="0" w:after="0" w:afterAutospacing="0" w:line="360" w:lineRule="auto"/>
        <w:ind w:firstLine="480" w:firstLineChars="200"/>
        <w:jc w:val="both"/>
        <w:rPr>
          <w:rFonts w:ascii="Times New Roman" w:hAnsi="Times New Roman"/>
          <w:color w:val="000000" w:themeColor="text1"/>
          <w:kern w:val="2"/>
          <w:lang w:bidi="ar"/>
          <w14:textFill>
            <w14:solidFill>
              <w14:schemeClr w14:val="tx1"/>
            </w14:solidFill>
          </w14:textFill>
        </w:rPr>
      </w:pPr>
      <w:r>
        <w:rPr>
          <w:rFonts w:hint="eastAsia" w:ascii="Times New Roman" w:hAnsi="Times New Roman"/>
          <w:color w:val="000000" w:themeColor="text1"/>
          <w:kern w:val="2"/>
          <w:lang w:bidi="ar"/>
          <w14:textFill>
            <w14:solidFill>
              <w14:schemeClr w14:val="tx1"/>
            </w14:solidFill>
          </w14:textFill>
        </w:rPr>
        <w:t>注：预估处理量根据投产量进行逻辑测算，具体数量以实际产出量为准。</w:t>
      </w:r>
    </w:p>
    <w:p>
      <w:pPr>
        <w:spacing w:line="440" w:lineRule="exact"/>
        <w:rPr>
          <w:rFonts w:ascii="宋体" w:hAnsi="宋体"/>
          <w:b/>
          <w:color w:val="333333"/>
          <w:sz w:val="24"/>
        </w:rPr>
      </w:pPr>
      <w:r>
        <w:rPr>
          <w:rFonts w:hint="eastAsia" w:ascii="宋体" w:hAnsi="宋体"/>
          <w:b/>
          <w:color w:val="333333"/>
          <w:sz w:val="24"/>
        </w:rPr>
        <w:t>三、项目目标</w:t>
      </w:r>
    </w:p>
    <w:p>
      <w:pPr>
        <w:spacing w:line="440" w:lineRule="exact"/>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rPr>
        <w:t>、为更好统一管理，以上类别废料建议由同一家供应商转运处置。</w:t>
      </w:r>
    </w:p>
    <w:p>
      <w:pPr>
        <w:spacing w:line="440" w:lineRule="exact"/>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、在合同期内，供应商须按照我司要求完成废料进行合规转运、回收处置。</w:t>
      </w:r>
    </w:p>
    <w:p>
      <w:pPr>
        <w:spacing w:line="440" w:lineRule="exact"/>
        <w:rPr>
          <w:rFonts w:ascii="宋体" w:hAnsi="宋体"/>
          <w:b/>
          <w:bCs/>
          <w:sz w:val="24"/>
          <w:szCs w:val="24"/>
        </w:rPr>
      </w:pPr>
      <w:r>
        <w:rPr>
          <w:rFonts w:hint="eastAsia" w:ascii="宋体" w:hAnsi="宋体"/>
          <w:b/>
          <w:bCs/>
          <w:sz w:val="24"/>
          <w:szCs w:val="24"/>
        </w:rPr>
        <w:t>四、项目管理要求</w:t>
      </w:r>
    </w:p>
    <w:p>
      <w:pPr>
        <w:spacing w:line="360" w:lineRule="auto"/>
        <w:ind w:firstLine="480" w:firstLineChars="200"/>
      </w:pPr>
      <w:r>
        <w:rPr>
          <w:rFonts w:hint="eastAsia"/>
          <w:sz w:val="24"/>
          <w:szCs w:val="24"/>
          <w:lang w:bidi="ar"/>
        </w:rPr>
        <w:t>1、</w:t>
      </w:r>
      <w:r>
        <w:rPr>
          <w:rFonts w:hint="eastAsia" w:cs="宋体"/>
          <w:sz w:val="24"/>
          <w:szCs w:val="24"/>
          <w:lang w:bidi="ar"/>
        </w:rPr>
        <w:t>资质要求：</w:t>
      </w:r>
    </w:p>
    <w:p>
      <w:pPr>
        <w:spacing w:line="360" w:lineRule="auto"/>
        <w:ind w:firstLine="480" w:firstLineChars="200"/>
        <w:rPr>
          <w:rFonts w:hint="eastAsia" w:eastAsia="宋体" w:cs="宋体"/>
          <w:sz w:val="24"/>
          <w:szCs w:val="24"/>
          <w:lang w:eastAsia="zh-CN" w:bidi="ar"/>
        </w:rPr>
      </w:pPr>
      <w:r>
        <w:rPr>
          <w:rFonts w:hint="eastAsia" w:cs="宋体"/>
          <w:sz w:val="24"/>
          <w:szCs w:val="24"/>
          <w:lang w:bidi="ar"/>
        </w:rPr>
        <w:t>（1）可回收废品处置单位需提供企业营业执照，可回收类废品经营许可证（在合同签订期限内有效）</w:t>
      </w:r>
      <w:r>
        <w:rPr>
          <w:rFonts w:hint="eastAsia" w:cs="宋体"/>
          <w:sz w:val="24"/>
          <w:szCs w:val="24"/>
          <w:lang w:eastAsia="zh-CN" w:bidi="ar"/>
        </w:rPr>
        <w:t>。</w:t>
      </w:r>
    </w:p>
    <w:p>
      <w:pPr>
        <w:spacing w:line="360" w:lineRule="auto"/>
        <w:ind w:firstLine="480" w:firstLineChars="200"/>
        <w:rPr>
          <w:rFonts w:cs="宋体"/>
          <w:sz w:val="24"/>
          <w:szCs w:val="24"/>
          <w:lang w:bidi="ar"/>
        </w:rPr>
      </w:pPr>
      <w:r>
        <w:rPr>
          <w:rFonts w:hint="eastAsia"/>
          <w:sz w:val="24"/>
          <w:szCs w:val="24"/>
          <w:lang w:bidi="ar"/>
        </w:rPr>
        <w:t>（2）</w:t>
      </w:r>
      <w:r>
        <w:rPr>
          <w:rFonts w:hint="eastAsia" w:cs="宋体"/>
          <w:sz w:val="24"/>
          <w:szCs w:val="24"/>
          <w:lang w:bidi="ar"/>
        </w:rPr>
        <w:t>处置单位要求：必须是中华人民共和国内依法注册的企业，具有独立法人资格，且符合招标文件所规定的要求，企业信誉良好。</w:t>
      </w:r>
    </w:p>
    <w:p>
      <w:pPr>
        <w:spacing w:line="360" w:lineRule="auto"/>
        <w:ind w:firstLine="480" w:firstLineChars="200"/>
      </w:pPr>
      <w:r>
        <w:rPr>
          <w:rFonts w:hint="eastAsia" w:cs="宋体"/>
          <w:sz w:val="24"/>
          <w:szCs w:val="24"/>
          <w:lang w:bidi="ar"/>
        </w:rPr>
        <w:t>（3）企业实缴资本大于100万。</w:t>
      </w:r>
    </w:p>
    <w:p>
      <w:pPr>
        <w:spacing w:line="360" w:lineRule="auto"/>
        <w:ind w:firstLine="480" w:firstLineChars="200"/>
        <w:rPr>
          <w:rFonts w:cs="宋体"/>
          <w:sz w:val="24"/>
          <w:szCs w:val="24"/>
          <w:lang w:bidi="ar"/>
        </w:rPr>
      </w:pPr>
      <w:r>
        <w:rPr>
          <w:rFonts w:hint="eastAsia"/>
          <w:sz w:val="24"/>
          <w:szCs w:val="24"/>
          <w:lang w:bidi="ar"/>
        </w:rPr>
        <w:t>2、</w:t>
      </w:r>
      <w:r>
        <w:rPr>
          <w:rFonts w:hint="eastAsia" w:cs="宋体"/>
          <w:sz w:val="24"/>
          <w:szCs w:val="24"/>
          <w:lang w:bidi="ar"/>
        </w:rPr>
        <w:t>投标要求：</w:t>
      </w:r>
    </w:p>
    <w:p>
      <w:pPr>
        <w:spacing w:line="360" w:lineRule="auto"/>
        <w:ind w:firstLine="480" w:firstLineChars="200"/>
      </w:pPr>
      <w:r>
        <w:rPr>
          <w:rFonts w:hint="eastAsia" w:cs="宋体"/>
          <w:sz w:val="24"/>
          <w:szCs w:val="24"/>
          <w:lang w:bidi="ar"/>
        </w:rPr>
        <w:t>（1）不接受联合体投标。投标人必须在投标文件中提供以上证明文件（若系复印件，须在复印件上盖上有效的公章，原件备查），所提供的证明材料须能反映和证明上述投标人资格要求所提出的实质性要求，如未按此要求提供，则被视为不能满足要求。</w:t>
      </w:r>
    </w:p>
    <w:p>
      <w:pPr>
        <w:pStyle w:val="7"/>
        <w:widowControl w:val="0"/>
        <w:spacing w:before="0" w:beforeAutospacing="0" w:after="0" w:afterAutospacing="0" w:line="360" w:lineRule="auto"/>
        <w:ind w:firstLine="480" w:firstLineChars="200"/>
        <w:jc w:val="both"/>
      </w:pPr>
      <w:r>
        <w:rPr>
          <w:rFonts w:hint="eastAsia" w:ascii="Times New Roman" w:hAnsi="Times New Roman" w:cs="Times New Roman"/>
          <w:kern w:val="2"/>
          <w:lang w:bidi="ar"/>
        </w:rPr>
        <w:t>（2）</w:t>
      </w:r>
      <w:r>
        <w:rPr>
          <w:rFonts w:hint="eastAsia" w:ascii="Times New Roman" w:hAnsi="Times New Roman"/>
          <w:kern w:val="2"/>
          <w:lang w:bidi="ar"/>
        </w:rPr>
        <w:t>按照《中华人民共和国固体废物污染环境防治法》、《一般工业固体废物贮存、处置场污染控制标准》的有关规定转移固体废物。</w:t>
      </w:r>
    </w:p>
    <w:p>
      <w:pPr>
        <w:pStyle w:val="7"/>
        <w:widowControl w:val="0"/>
        <w:spacing w:before="0" w:beforeAutospacing="0" w:after="0" w:afterAutospacing="0" w:line="360" w:lineRule="auto"/>
        <w:ind w:firstLine="480" w:firstLineChars="200"/>
        <w:jc w:val="both"/>
      </w:pPr>
      <w:r>
        <w:rPr>
          <w:rFonts w:hint="eastAsia" w:ascii="Times New Roman" w:hAnsi="Times New Roman" w:cs="Times New Roman"/>
          <w:kern w:val="2"/>
          <w:lang w:bidi="ar"/>
        </w:rPr>
        <w:t>（3）</w:t>
      </w:r>
      <w:r>
        <w:rPr>
          <w:rFonts w:hint="eastAsia" w:ascii="Times New Roman" w:hAnsi="Times New Roman"/>
          <w:kern w:val="2"/>
          <w:lang w:bidi="ar"/>
        </w:rPr>
        <w:t>应按照法律法规要求，利用、处置工业固体废物的处置单位的经营范围、环境影响评价批复文件经营资质等主体资格信息，有满足工业固体废物运输、利用、处置要求的工艺技术方案、污染防治措施、处理方式等技术能力</w:t>
      </w:r>
    </w:p>
    <w:p>
      <w:pPr>
        <w:pStyle w:val="7"/>
        <w:widowControl w:val="0"/>
        <w:spacing w:before="0" w:beforeAutospacing="0" w:after="0" w:afterAutospacing="0" w:line="360" w:lineRule="auto"/>
        <w:ind w:firstLine="480" w:firstLineChars="200"/>
        <w:jc w:val="both"/>
        <w:rPr>
          <w:rFonts w:ascii="微软雅黑" w:hAnsi="微软雅黑"/>
        </w:rPr>
      </w:pPr>
      <w:r>
        <w:rPr>
          <w:rFonts w:hint="eastAsia" w:ascii="Times New Roman" w:hAnsi="Times New Roman" w:cs="Times New Roman"/>
          <w:kern w:val="2"/>
          <w:lang w:bidi="ar"/>
        </w:rPr>
        <w:t>（4）</w:t>
      </w:r>
      <w:r>
        <w:rPr>
          <w:rFonts w:hint="eastAsia" w:ascii="微软雅黑" w:hAnsi="微软雅黑"/>
          <w:lang w:bidi="ar"/>
        </w:rPr>
        <w:t>回收、储存、运输、处理的单位应当遵守国家有关环境保护和环境卫生管理的规定。</w:t>
      </w:r>
    </w:p>
    <w:p>
      <w:pPr>
        <w:pStyle w:val="7"/>
        <w:widowControl w:val="0"/>
        <w:spacing w:before="0" w:beforeAutospacing="0" w:after="0" w:afterAutospacing="0" w:line="360" w:lineRule="auto"/>
        <w:ind w:firstLine="480" w:firstLineChars="200"/>
        <w:jc w:val="both"/>
        <w:rPr>
          <w:rFonts w:ascii="微软雅黑" w:hAnsi="微软雅黑"/>
        </w:rPr>
      </w:pPr>
      <w:r>
        <w:rPr>
          <w:rFonts w:hint="eastAsia" w:ascii="Times New Roman" w:hAnsi="Times New Roman" w:cs="Times New Roman"/>
          <w:lang w:bidi="ar"/>
        </w:rPr>
        <w:t>（5）</w:t>
      </w:r>
      <w:r>
        <w:rPr>
          <w:rFonts w:hint="eastAsia" w:ascii="微软雅黑" w:hAnsi="微软雅黑"/>
          <w:lang w:bidi="ar"/>
        </w:rPr>
        <w:t>应当符合国家有关资源综合利用、环境保护、劳动安全和保障人体健康的要求。</w:t>
      </w:r>
    </w:p>
    <w:p>
      <w:pPr>
        <w:pStyle w:val="7"/>
        <w:widowControl w:val="0"/>
        <w:spacing w:before="0" w:beforeAutospacing="0" w:after="0" w:afterAutospacing="0" w:line="360" w:lineRule="auto"/>
        <w:ind w:firstLine="480" w:firstLineChars="200"/>
        <w:jc w:val="both"/>
        <w:rPr>
          <w:rFonts w:ascii="Times New Roman" w:hAnsi="Times New Roman"/>
          <w:bCs/>
          <w:lang w:bidi="ar"/>
        </w:rPr>
      </w:pPr>
      <w:r>
        <w:rPr>
          <w:rFonts w:hint="eastAsia" w:ascii="Times New Roman" w:hAnsi="Times New Roman" w:cs="Times New Roman"/>
          <w:bCs/>
          <w:lang w:bidi="ar"/>
        </w:rPr>
        <w:t>3</w:t>
      </w:r>
      <w:r>
        <w:rPr>
          <w:rFonts w:ascii="Times New Roman" w:hAnsi="Times New Roman" w:cs="Times New Roman"/>
          <w:bCs/>
          <w:lang w:bidi="ar"/>
        </w:rPr>
        <w:t xml:space="preserve">. </w:t>
      </w:r>
      <w:r>
        <w:rPr>
          <w:rFonts w:hint="eastAsia" w:ascii="Times New Roman" w:hAnsi="Times New Roman"/>
          <w:bCs/>
          <w:lang w:bidi="ar"/>
        </w:rPr>
        <w:t>响应要求：</w:t>
      </w:r>
    </w:p>
    <w:p>
      <w:pPr>
        <w:pStyle w:val="7"/>
        <w:widowControl w:val="0"/>
        <w:spacing w:before="0" w:beforeAutospacing="0" w:after="0" w:afterAutospacing="0" w:line="360" w:lineRule="auto"/>
        <w:ind w:firstLine="480" w:firstLineChars="200"/>
        <w:jc w:val="both"/>
      </w:pPr>
      <w:r>
        <w:rPr>
          <w:rFonts w:hint="eastAsia" w:ascii="Times New Roman" w:hAnsi="Times New Roman" w:cs="Times New Roman"/>
          <w:lang w:bidi="ar"/>
        </w:rPr>
        <w:t>（1）</w:t>
      </w:r>
      <w:r>
        <w:rPr>
          <w:rFonts w:hint="eastAsia" w:ascii="Times New Roman" w:hAnsi="Times New Roman"/>
          <w:lang w:bidi="ar"/>
        </w:rPr>
        <w:t>依法签订固废处置协议，并在协议中约定污染防治要求，运输、利用、处置固体废物，应当依照有关法律法规的规定和合同约定履行污染防治的要求，并将运输、利用、处置情况反馈告知。</w:t>
      </w:r>
    </w:p>
    <w:p>
      <w:pPr>
        <w:pStyle w:val="7"/>
        <w:widowControl w:val="0"/>
        <w:spacing w:before="0" w:beforeAutospacing="0" w:after="0" w:afterAutospacing="0" w:line="360" w:lineRule="auto"/>
        <w:ind w:firstLine="480" w:firstLineChars="200"/>
        <w:jc w:val="both"/>
      </w:pPr>
      <w:r>
        <w:rPr>
          <w:rFonts w:hint="eastAsia" w:ascii="Times New Roman" w:hAnsi="Times New Roman" w:cs="Times New Roman"/>
          <w:kern w:val="2"/>
          <w:lang w:bidi="ar"/>
        </w:rPr>
        <w:t>（2）</w:t>
      </w:r>
      <w:r>
        <w:rPr>
          <w:rFonts w:hint="eastAsia" w:ascii="Times New Roman" w:hAnsi="Times New Roman"/>
          <w:kern w:val="2"/>
          <w:lang w:bidi="ar"/>
        </w:rPr>
        <w:t>处置单位不得倾倒、堆放、丢弃、遗撒工业固体废物，或者不采取相应防范措施，造成工业固体废物扬散、流失、渗漏或者其他环境污染，因此产生的责任由处置单位全部负责。</w:t>
      </w:r>
    </w:p>
    <w:p>
      <w:pPr>
        <w:pStyle w:val="7"/>
        <w:widowControl w:val="0"/>
        <w:spacing w:before="0" w:beforeAutospacing="0" w:after="0" w:afterAutospacing="0" w:line="360" w:lineRule="auto"/>
        <w:ind w:firstLine="480" w:firstLineChars="200"/>
        <w:jc w:val="both"/>
      </w:pPr>
      <w:r>
        <w:rPr>
          <w:rFonts w:hint="eastAsia" w:ascii="Times New Roman" w:hAnsi="Times New Roman" w:cs="Times New Roman"/>
          <w:lang w:bidi="ar"/>
        </w:rPr>
        <w:t>（3）</w:t>
      </w:r>
      <w:r>
        <w:rPr>
          <w:rFonts w:hint="eastAsia" w:ascii="Times New Roman" w:hAnsi="Times New Roman"/>
          <w:lang w:bidi="ar"/>
        </w:rPr>
        <w:t>固废处置单位自行准备叉车，并</w:t>
      </w:r>
      <w:r>
        <w:rPr>
          <w:rFonts w:hint="eastAsia" w:ascii="Times New Roman" w:hAnsi="Times New Roman"/>
          <w:kern w:val="2"/>
          <w:lang w:bidi="ar"/>
        </w:rPr>
        <w:t>负责装车业务。</w:t>
      </w:r>
      <w:r>
        <w:rPr>
          <w:rFonts w:hint="eastAsia" w:ascii="Times New Roman" w:hAnsi="Times New Roman"/>
          <w:lang w:bidi="ar"/>
        </w:rPr>
        <w:t>原则上</w:t>
      </w:r>
      <w:r>
        <w:rPr>
          <w:rFonts w:hint="eastAsia"/>
          <w:kern w:val="2"/>
          <w:szCs w:val="21"/>
          <w:lang w:bidi="ar"/>
        </w:rPr>
        <w:t>保证每周至少一次清理，如每周一次无法清理完成，须增加清理次数，具体以我司通知为准；如有特殊情况需要及时处理，须随时配合，在规定时间内按要求处理完成。</w:t>
      </w:r>
      <w:r>
        <w:rPr>
          <w:rFonts w:hint="eastAsia" w:ascii="Times New Roman" w:hAnsi="Times New Roman"/>
          <w:kern w:val="2"/>
          <w:lang w:bidi="ar"/>
        </w:rPr>
        <w:t>装货完成后，固废处置单位要负责现场清洁工作，公司仓管员负责监督，若清洁不达标，由固废处置单位负责清洁。。</w:t>
      </w:r>
    </w:p>
    <w:p>
      <w:pPr>
        <w:pStyle w:val="7"/>
        <w:widowControl w:val="0"/>
        <w:spacing w:before="0" w:beforeAutospacing="0" w:after="0" w:afterAutospacing="0" w:line="360" w:lineRule="auto"/>
        <w:ind w:firstLine="480" w:firstLineChars="200"/>
        <w:jc w:val="both"/>
      </w:pPr>
      <w:r>
        <w:rPr>
          <w:rFonts w:hint="eastAsia" w:ascii="Times New Roman" w:hAnsi="Times New Roman" w:cs="Times New Roman"/>
          <w:kern w:val="2"/>
          <w:lang w:bidi="ar"/>
        </w:rPr>
        <w:t>（4）</w:t>
      </w:r>
      <w:r>
        <w:rPr>
          <w:rFonts w:hint="eastAsia" w:ascii="Times New Roman" w:hAnsi="Times New Roman"/>
          <w:kern w:val="2"/>
          <w:lang w:bidi="ar"/>
        </w:rPr>
        <w:t>厂区范围内回收时，必须严格按公司照规章制度执行；乙方车辆、人员应在指定区域作业，同时须保证相关人员的人身、财产安全，如出现安全事故、人身财产损害的，承担全部责任，如因此导致损失的，应当予以赔偿。</w:t>
      </w:r>
    </w:p>
    <w:p>
      <w:pPr>
        <w:pStyle w:val="7"/>
        <w:widowControl w:val="0"/>
        <w:spacing w:before="0" w:beforeAutospacing="0" w:after="0" w:afterAutospacing="0" w:line="360" w:lineRule="auto"/>
        <w:ind w:firstLine="480" w:firstLineChars="200"/>
        <w:jc w:val="both"/>
      </w:pPr>
      <w:r>
        <w:rPr>
          <w:rFonts w:hint="eastAsia" w:ascii="Times New Roman" w:hAnsi="Times New Roman" w:cs="Times New Roman"/>
          <w:kern w:val="2"/>
          <w:lang w:bidi="ar"/>
        </w:rPr>
        <w:t>（5）</w:t>
      </w:r>
      <w:r>
        <w:rPr>
          <w:rFonts w:hint="eastAsia" w:ascii="Times New Roman" w:hAnsi="Times New Roman"/>
          <w:kern w:val="2"/>
          <w:lang w:bidi="ar"/>
        </w:rPr>
        <w:t>固废处置单位应安排专门的管理人员负责与对接我司的固废处置工作，工作人员、车辆在进出厂区时须按规定办理相关进出手续。</w:t>
      </w:r>
    </w:p>
    <w:p>
      <w:pPr>
        <w:pStyle w:val="7"/>
        <w:widowControl w:val="0"/>
        <w:spacing w:before="0" w:beforeAutospacing="0" w:after="0" w:afterAutospacing="0" w:line="360" w:lineRule="auto"/>
        <w:ind w:firstLine="480" w:firstLineChars="200"/>
        <w:jc w:val="both"/>
      </w:pPr>
      <w:r>
        <w:rPr>
          <w:rFonts w:hint="eastAsia" w:ascii="Times New Roman" w:hAnsi="Times New Roman" w:cs="Times New Roman"/>
          <w:kern w:val="2"/>
          <w:lang w:bidi="ar"/>
        </w:rPr>
        <w:t>（6）</w:t>
      </w:r>
      <w:r>
        <w:rPr>
          <w:rFonts w:hint="eastAsia" w:ascii="Times New Roman" w:hAnsi="Times New Roman"/>
          <w:kern w:val="2"/>
          <w:lang w:bidi="ar"/>
        </w:rPr>
        <w:t>前来处理一般废弃物的运输车辆应保证车况良好，采取符合安全环保标准的相关措施，适用于运输本合同规定的相关物品。固废的收集、运输等处理过程应采取有效的安全措施，确保处置过程符合现行法规，避免环境的二次污染。如违反国家相关法律法规作业或在回收处理中出现安全事故、人身财产损害的，承担全部责任。</w:t>
      </w:r>
    </w:p>
    <w:p>
      <w:pPr>
        <w:spacing w:line="440" w:lineRule="exact"/>
        <w:ind w:firstLine="480" w:firstLineChars="200"/>
        <w:rPr>
          <w:rFonts w:ascii="宋体" w:hAnsi="宋体"/>
          <w:bCs/>
          <w:sz w:val="24"/>
          <w:szCs w:val="24"/>
        </w:rPr>
      </w:pPr>
      <w:r>
        <w:rPr>
          <w:rFonts w:hint="eastAsia" w:ascii="宋体" w:hAnsi="宋体"/>
          <w:bCs/>
          <w:sz w:val="24"/>
          <w:szCs w:val="24"/>
        </w:rPr>
        <w:t>4、服务承诺</w:t>
      </w:r>
      <w:bookmarkStart w:id="4" w:name="_Toc532742274"/>
    </w:p>
    <w:p>
      <w:pPr>
        <w:spacing w:line="440" w:lineRule="exact"/>
        <w:ind w:firstLine="480" w:firstLineChars="200"/>
        <w:rPr>
          <w:rFonts w:ascii="宋体" w:hAnsi="宋体"/>
          <w:bCs/>
          <w:sz w:val="24"/>
          <w:szCs w:val="24"/>
        </w:rPr>
      </w:pPr>
      <w:r>
        <w:rPr>
          <w:rFonts w:hint="eastAsia" w:ascii="宋体" w:hAnsi="宋体"/>
          <w:bCs/>
          <w:sz w:val="24"/>
          <w:szCs w:val="24"/>
        </w:rPr>
        <w:t>（1）项目开展期间内的服务承诺</w:t>
      </w:r>
      <w:bookmarkEnd w:id="4"/>
    </w:p>
    <w:p>
      <w:pPr>
        <w:spacing w:line="440" w:lineRule="exact"/>
        <w:ind w:left="480"/>
        <w:rPr>
          <w:rFonts w:ascii="宋体" w:hAnsi="宋体"/>
          <w:bCs/>
          <w:sz w:val="24"/>
          <w:szCs w:val="24"/>
        </w:rPr>
      </w:pPr>
      <w:r>
        <w:rPr>
          <w:rFonts w:hint="eastAsia" w:ascii="宋体" w:hAnsi="宋体"/>
          <w:bCs/>
          <w:sz w:val="24"/>
          <w:szCs w:val="24"/>
        </w:rPr>
        <w:t>（2）响应承诺</w:t>
      </w:r>
    </w:p>
    <w:p>
      <w:pPr>
        <w:spacing w:line="440" w:lineRule="exact"/>
        <w:ind w:left="480"/>
        <w:rPr>
          <w:rFonts w:ascii="宋体" w:hAnsi="宋体"/>
          <w:bCs/>
          <w:sz w:val="24"/>
          <w:szCs w:val="24"/>
        </w:rPr>
      </w:pPr>
      <w:r>
        <w:rPr>
          <w:rFonts w:hint="eastAsia" w:ascii="宋体" w:hAnsi="宋体"/>
          <w:bCs/>
          <w:sz w:val="24"/>
          <w:szCs w:val="24"/>
        </w:rPr>
        <w:t>（3）保密承诺</w:t>
      </w:r>
    </w:p>
    <w:p>
      <w:pPr>
        <w:spacing w:line="360" w:lineRule="auto"/>
        <w:rPr>
          <w:rFonts w:cs="宋体"/>
          <w:b/>
          <w:bCs/>
          <w:sz w:val="24"/>
          <w:szCs w:val="24"/>
          <w:lang w:bidi="ar"/>
        </w:rPr>
      </w:pPr>
      <w:r>
        <w:rPr>
          <w:rFonts w:hint="eastAsia" w:cs="宋体"/>
          <w:b/>
          <w:bCs/>
          <w:sz w:val="24"/>
          <w:szCs w:val="24"/>
          <w:lang w:bidi="ar"/>
        </w:rPr>
        <w:t>五、业绩材料要求</w:t>
      </w:r>
    </w:p>
    <w:p>
      <w:pPr>
        <w:spacing w:line="440" w:lineRule="exact"/>
        <w:ind w:firstLine="480" w:firstLineChars="200"/>
        <w:rPr>
          <w:rFonts w:ascii="宋体" w:hAnsi="宋体"/>
          <w:bCs/>
          <w:sz w:val="24"/>
          <w:szCs w:val="24"/>
        </w:rPr>
      </w:pPr>
      <w:r>
        <w:rPr>
          <w:rFonts w:hint="eastAsia" w:ascii="宋体" w:hAnsi="宋体"/>
          <w:bCs/>
          <w:sz w:val="24"/>
          <w:szCs w:val="24"/>
        </w:rPr>
        <w:t>为证明投标人具备履行本合同所需的经验和能力，投标人须提供以下业绩证明材料:</w:t>
      </w:r>
    </w:p>
    <w:p>
      <w:pPr>
        <w:spacing w:line="360" w:lineRule="auto"/>
        <w:ind w:firstLine="480" w:firstLineChars="200"/>
        <w:rPr>
          <w:rFonts w:cs="宋体"/>
          <w:sz w:val="24"/>
          <w:szCs w:val="24"/>
          <w:lang w:bidi="ar"/>
        </w:rPr>
      </w:pPr>
      <w:r>
        <w:rPr>
          <w:rFonts w:hint="eastAsia" w:cs="宋体"/>
          <w:sz w:val="24"/>
          <w:szCs w:val="24"/>
          <w:lang w:bidi="ar"/>
        </w:rPr>
        <w:t>投标人具有至少</w:t>
      </w:r>
      <w:bookmarkStart w:id="5" w:name="OLE_LINK1"/>
      <w:r>
        <w:rPr>
          <w:rFonts w:hint="eastAsia" w:cs="宋体"/>
          <w:sz w:val="24"/>
          <w:szCs w:val="24"/>
          <w:lang w:bidi="ar"/>
        </w:rPr>
        <w:t>承担过单个合同金额≥100万元人民币类似处置业绩至少1个，提供合同复印件，原件备查。</w:t>
      </w:r>
      <w:bookmarkEnd w:id="5"/>
    </w:p>
    <w:p>
      <w:pPr>
        <w:spacing w:line="360" w:lineRule="auto"/>
        <w:rPr>
          <w:rFonts w:cs="宋体"/>
          <w:b/>
          <w:bCs/>
          <w:sz w:val="24"/>
          <w:szCs w:val="24"/>
          <w:lang w:bidi="ar"/>
        </w:rPr>
      </w:pPr>
      <w:r>
        <w:rPr>
          <w:rFonts w:hint="eastAsia" w:cs="宋体"/>
          <w:b/>
          <w:bCs/>
          <w:sz w:val="24"/>
          <w:szCs w:val="24"/>
          <w:lang w:bidi="ar"/>
        </w:rPr>
        <w:t>六、其他要求</w:t>
      </w:r>
    </w:p>
    <w:p>
      <w:pPr>
        <w:spacing w:line="360" w:lineRule="auto"/>
        <w:ind w:firstLine="480" w:firstLineChars="200"/>
      </w:pPr>
      <w:r>
        <w:rPr>
          <w:rFonts w:hint="eastAsia" w:cs="宋体"/>
          <w:sz w:val="24"/>
          <w:szCs w:val="24"/>
          <w:lang w:bidi="ar"/>
        </w:rPr>
        <w:t>1．每次转运提供相应运输信息和签收单据，配合我司完成废品转移处理申报。</w:t>
      </w:r>
      <w:bookmarkStart w:id="6" w:name="_GoBack"/>
      <w:bookmarkEnd w:id="6"/>
    </w:p>
    <w:p>
      <w:pPr>
        <w:pStyle w:val="7"/>
        <w:snapToGrid w:val="0"/>
        <w:spacing w:before="0" w:beforeAutospacing="0" w:after="0" w:afterAutospacing="0" w:line="420" w:lineRule="atLeast"/>
        <w:ind w:firstLine="480" w:firstLineChars="200"/>
      </w:pPr>
    </w:p>
    <w:p>
      <w:pPr>
        <w:pStyle w:val="7"/>
        <w:snapToGrid w:val="0"/>
        <w:spacing w:before="0" w:beforeAutospacing="0" w:after="0" w:afterAutospacing="0" w:line="420" w:lineRule="atLeast"/>
        <w:ind w:firstLine="480" w:firstLineChars="200"/>
      </w:pPr>
    </w:p>
    <w:p>
      <w:pPr>
        <w:pStyle w:val="7"/>
        <w:snapToGrid w:val="0"/>
        <w:spacing w:before="0" w:beforeAutospacing="0" w:after="0" w:afterAutospacing="0" w:line="420" w:lineRule="atLeast"/>
        <w:ind w:firstLine="480" w:firstLineChars="200"/>
      </w:pPr>
    </w:p>
    <w:p>
      <w:pPr>
        <w:pStyle w:val="7"/>
        <w:snapToGrid w:val="0"/>
        <w:spacing w:before="0" w:beforeAutospacing="0" w:after="0" w:afterAutospacing="0" w:line="420" w:lineRule="atLeast"/>
        <w:ind w:firstLine="480" w:firstLineChars="200"/>
      </w:pPr>
    </w:p>
    <w:p>
      <w:pPr>
        <w:pStyle w:val="7"/>
        <w:snapToGrid w:val="0"/>
        <w:spacing w:before="0" w:beforeAutospacing="0" w:after="0" w:afterAutospacing="0" w:line="420" w:lineRule="atLeast"/>
        <w:ind w:firstLine="480" w:firstLineChars="200"/>
      </w:pPr>
    </w:p>
    <w:p>
      <w:pPr>
        <w:pStyle w:val="7"/>
        <w:snapToGrid w:val="0"/>
        <w:spacing w:before="0" w:beforeAutospacing="0" w:after="0" w:afterAutospacing="0" w:line="420" w:lineRule="atLeast"/>
        <w:ind w:firstLine="480" w:firstLineChars="200"/>
      </w:pPr>
    </w:p>
    <w:p>
      <w:pPr>
        <w:pStyle w:val="7"/>
        <w:snapToGrid w:val="0"/>
        <w:spacing w:before="0" w:beforeAutospacing="0" w:after="0" w:afterAutospacing="0" w:line="420" w:lineRule="atLeast"/>
        <w:ind w:firstLine="480" w:firstLineChars="200"/>
      </w:pPr>
    </w:p>
    <w:p>
      <w:pPr>
        <w:pStyle w:val="7"/>
        <w:snapToGrid w:val="0"/>
        <w:spacing w:before="0" w:beforeAutospacing="0" w:after="0" w:afterAutospacing="0" w:line="420" w:lineRule="atLeast"/>
        <w:ind w:firstLine="480" w:firstLineChars="200"/>
      </w:pPr>
    </w:p>
    <w:p>
      <w:pPr>
        <w:pStyle w:val="7"/>
        <w:snapToGrid w:val="0"/>
        <w:spacing w:before="0" w:beforeAutospacing="0" w:after="0" w:afterAutospacing="0" w:line="420" w:lineRule="atLeast"/>
        <w:ind w:firstLine="480" w:firstLineChars="200"/>
      </w:pPr>
    </w:p>
    <w:p>
      <w:pPr>
        <w:pStyle w:val="7"/>
        <w:snapToGrid w:val="0"/>
        <w:spacing w:before="0" w:beforeAutospacing="0" w:after="0" w:afterAutospacing="0" w:line="420" w:lineRule="atLeast"/>
        <w:ind w:firstLine="480" w:firstLineChars="200"/>
      </w:pPr>
      <w:r>
        <w:rPr>
          <w:rFonts w:hint="eastAsia"/>
        </w:rPr>
        <w:t>附页：废料参考图例</w:t>
      </w:r>
    </w:p>
    <w:tbl>
      <w:tblPr>
        <w:tblStyle w:val="9"/>
        <w:tblW w:w="8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6"/>
        <w:gridCol w:w="1654"/>
        <w:gridCol w:w="966"/>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 w:hRule="atLeast"/>
        </w:trPr>
        <w:tc>
          <w:tcPr>
            <w:tcW w:w="4986" w:type="dxa"/>
            <w:shd w:val="clear" w:color="auto" w:fill="DEEAF6" w:themeFill="accent1" w:themeFillTint="33"/>
            <w:vAlign w:val="center"/>
          </w:tcPr>
          <w:p>
            <w:pPr>
              <w:pStyle w:val="7"/>
              <w:snapToGrid w:val="0"/>
              <w:spacing w:before="0" w:beforeAutospacing="0" w:after="0" w:afterAutospacing="0" w:line="420" w:lineRule="atLeast"/>
              <w:jc w:val="center"/>
            </w:pPr>
          </w:p>
        </w:tc>
        <w:tc>
          <w:tcPr>
            <w:tcW w:w="1654" w:type="dxa"/>
            <w:shd w:val="clear" w:color="auto" w:fill="DEEAF6" w:themeFill="accent1" w:themeFillTint="33"/>
            <w:vAlign w:val="center"/>
          </w:tcPr>
          <w:p>
            <w:pPr>
              <w:pStyle w:val="7"/>
              <w:snapToGrid w:val="0"/>
              <w:spacing w:before="0" w:beforeAutospacing="0" w:after="0" w:afterAutospacing="0" w:line="420" w:lineRule="atLeast"/>
              <w:jc w:val="center"/>
            </w:pPr>
          </w:p>
        </w:tc>
        <w:tc>
          <w:tcPr>
            <w:tcW w:w="966" w:type="dxa"/>
            <w:shd w:val="clear" w:color="auto" w:fill="DEEAF6" w:themeFill="accent1" w:themeFillTint="33"/>
            <w:vAlign w:val="center"/>
          </w:tcPr>
          <w:p>
            <w:pPr>
              <w:pStyle w:val="7"/>
              <w:snapToGrid w:val="0"/>
              <w:spacing w:before="0" w:beforeAutospacing="0" w:after="0" w:afterAutospacing="0" w:line="420" w:lineRule="atLeast"/>
              <w:jc w:val="center"/>
            </w:pPr>
          </w:p>
        </w:tc>
        <w:tc>
          <w:tcPr>
            <w:tcW w:w="990" w:type="dxa"/>
            <w:shd w:val="clear" w:color="auto" w:fill="DEEAF6" w:themeFill="accent1" w:themeFillTint="33"/>
            <w:vAlign w:val="center"/>
          </w:tcPr>
          <w:p>
            <w:pPr>
              <w:pStyle w:val="7"/>
              <w:snapToGrid w:val="0"/>
              <w:spacing w:before="0" w:beforeAutospacing="0" w:after="0" w:afterAutospacing="0" w:line="42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4986" w:type="dxa"/>
            <w:vAlign w:val="center"/>
          </w:tcPr>
          <w:p>
            <w:pPr>
              <w:pStyle w:val="7"/>
              <w:snapToGrid w:val="0"/>
              <w:spacing w:before="0" w:beforeAutospacing="0" w:after="0" w:afterAutospacing="0" w:line="420" w:lineRule="atLeast"/>
              <w:jc w:val="center"/>
            </w:pPr>
            <w:r>
              <w:drawing>
                <wp:inline distT="0" distB="0" distL="0" distR="0">
                  <wp:extent cx="3020060" cy="1799590"/>
                  <wp:effectExtent l="0" t="0" r="8890" b="0"/>
                  <wp:docPr id="1" name="图片 1" descr="D:\058805\My Documents\WXWork\1688856612786314\Cache\Image\2026-01\7102dd40593fa6e4bde2eda56e06e944_comp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58805\My Documents\WXWork\1688856612786314\Cache\Image\2026-01\7102dd40593fa6e4bde2eda56e06e944_compress.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020400" cy="1800000"/>
                          </a:xfrm>
                          <a:prstGeom prst="rect">
                            <a:avLst/>
                          </a:prstGeom>
                          <a:noFill/>
                          <a:ln>
                            <a:noFill/>
                          </a:ln>
                        </pic:spPr>
                      </pic:pic>
                    </a:graphicData>
                  </a:graphic>
                </wp:inline>
              </w:drawing>
            </w:r>
          </w:p>
        </w:tc>
        <w:tc>
          <w:tcPr>
            <w:tcW w:w="1654" w:type="dxa"/>
            <w:vAlign w:val="center"/>
          </w:tcPr>
          <w:p>
            <w:pPr>
              <w:pStyle w:val="7"/>
              <w:snapToGrid w:val="0"/>
              <w:spacing w:before="0" w:beforeAutospacing="0" w:after="0" w:afterAutospacing="0" w:line="420" w:lineRule="atLeast"/>
              <w:jc w:val="center"/>
            </w:pPr>
          </w:p>
        </w:tc>
        <w:tc>
          <w:tcPr>
            <w:tcW w:w="966" w:type="dxa"/>
            <w:shd w:val="clear" w:color="auto" w:fill="auto"/>
            <w:vAlign w:val="center"/>
          </w:tcPr>
          <w:p>
            <w:pPr>
              <w:pStyle w:val="7"/>
              <w:snapToGrid w:val="0"/>
              <w:spacing w:before="0" w:beforeAutospacing="0" w:after="0" w:afterAutospacing="0" w:line="420" w:lineRule="atLeast"/>
              <w:jc w:val="center"/>
            </w:pPr>
          </w:p>
        </w:tc>
        <w:tc>
          <w:tcPr>
            <w:tcW w:w="990" w:type="dxa"/>
            <w:shd w:val="clear" w:color="auto" w:fill="auto"/>
            <w:vAlign w:val="center"/>
          </w:tcPr>
          <w:p>
            <w:pPr>
              <w:pStyle w:val="7"/>
              <w:snapToGrid w:val="0"/>
              <w:spacing w:before="0" w:beforeAutospacing="0" w:after="0" w:afterAutospacing="0" w:line="420" w:lineRule="atLeast"/>
              <w:jc w:val="center"/>
            </w:pPr>
          </w:p>
        </w:tc>
      </w:tr>
    </w:tbl>
    <w:p>
      <w:pPr>
        <w:pStyle w:val="7"/>
        <w:widowControl w:val="0"/>
        <w:spacing w:before="0" w:beforeAutospacing="0" w:after="0" w:afterAutospacing="0" w:line="360" w:lineRule="auto"/>
        <w:jc w:val="both"/>
        <w:rPr>
          <w:rFonts w:ascii="Times New Roman" w:hAnsi="Times New Roman"/>
          <w:kern w:val="2"/>
          <w:lang w:bidi="ar"/>
        </w:rPr>
      </w:pP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C71"/>
    <w:rsid w:val="00014FD3"/>
    <w:rsid w:val="00030162"/>
    <w:rsid w:val="00031F8B"/>
    <w:rsid w:val="00044897"/>
    <w:rsid w:val="00061B17"/>
    <w:rsid w:val="00086060"/>
    <w:rsid w:val="000A7EF2"/>
    <w:rsid w:val="000B0688"/>
    <w:rsid w:val="000F24DA"/>
    <w:rsid w:val="0010199D"/>
    <w:rsid w:val="001129FA"/>
    <w:rsid w:val="00113BE7"/>
    <w:rsid w:val="00133106"/>
    <w:rsid w:val="00167FAA"/>
    <w:rsid w:val="00172A27"/>
    <w:rsid w:val="001744BA"/>
    <w:rsid w:val="00177FCA"/>
    <w:rsid w:val="001A0396"/>
    <w:rsid w:val="001B040E"/>
    <w:rsid w:val="001B5EFD"/>
    <w:rsid w:val="001C6257"/>
    <w:rsid w:val="001F3B0E"/>
    <w:rsid w:val="0020247C"/>
    <w:rsid w:val="00205027"/>
    <w:rsid w:val="00215DBA"/>
    <w:rsid w:val="002228E7"/>
    <w:rsid w:val="00244FED"/>
    <w:rsid w:val="00245005"/>
    <w:rsid w:val="002472E0"/>
    <w:rsid w:val="002519C8"/>
    <w:rsid w:val="00251CED"/>
    <w:rsid w:val="0027263F"/>
    <w:rsid w:val="00283E05"/>
    <w:rsid w:val="002C67CF"/>
    <w:rsid w:val="002D31EE"/>
    <w:rsid w:val="00325AFB"/>
    <w:rsid w:val="00325C33"/>
    <w:rsid w:val="0033521F"/>
    <w:rsid w:val="00361934"/>
    <w:rsid w:val="00367B5A"/>
    <w:rsid w:val="00384E30"/>
    <w:rsid w:val="00384FE6"/>
    <w:rsid w:val="003B5A13"/>
    <w:rsid w:val="003E68B2"/>
    <w:rsid w:val="003F0925"/>
    <w:rsid w:val="003F18FC"/>
    <w:rsid w:val="003F7651"/>
    <w:rsid w:val="004012EF"/>
    <w:rsid w:val="00401E05"/>
    <w:rsid w:val="00411F2B"/>
    <w:rsid w:val="00421A88"/>
    <w:rsid w:val="00440D2E"/>
    <w:rsid w:val="0048138A"/>
    <w:rsid w:val="004842DA"/>
    <w:rsid w:val="004A6270"/>
    <w:rsid w:val="004C76C6"/>
    <w:rsid w:val="004F3772"/>
    <w:rsid w:val="00500B5A"/>
    <w:rsid w:val="00520294"/>
    <w:rsid w:val="00527D13"/>
    <w:rsid w:val="00556DB1"/>
    <w:rsid w:val="0058119D"/>
    <w:rsid w:val="00596082"/>
    <w:rsid w:val="005A2E58"/>
    <w:rsid w:val="005B0C9F"/>
    <w:rsid w:val="005B12E1"/>
    <w:rsid w:val="005B53D9"/>
    <w:rsid w:val="005C0BBC"/>
    <w:rsid w:val="005C148A"/>
    <w:rsid w:val="005C7CA3"/>
    <w:rsid w:val="005E20DE"/>
    <w:rsid w:val="005F31E7"/>
    <w:rsid w:val="00601C55"/>
    <w:rsid w:val="0060307E"/>
    <w:rsid w:val="00603DF1"/>
    <w:rsid w:val="0061462F"/>
    <w:rsid w:val="0062024F"/>
    <w:rsid w:val="00622610"/>
    <w:rsid w:val="00627286"/>
    <w:rsid w:val="00627E3F"/>
    <w:rsid w:val="00630808"/>
    <w:rsid w:val="00665168"/>
    <w:rsid w:val="0068261D"/>
    <w:rsid w:val="00695271"/>
    <w:rsid w:val="00696656"/>
    <w:rsid w:val="006A5D21"/>
    <w:rsid w:val="006A75DA"/>
    <w:rsid w:val="006B0205"/>
    <w:rsid w:val="006D4835"/>
    <w:rsid w:val="00706EA5"/>
    <w:rsid w:val="00720A23"/>
    <w:rsid w:val="00725926"/>
    <w:rsid w:val="00733A28"/>
    <w:rsid w:val="007457FD"/>
    <w:rsid w:val="007544A5"/>
    <w:rsid w:val="00755BDF"/>
    <w:rsid w:val="00764102"/>
    <w:rsid w:val="00765B9C"/>
    <w:rsid w:val="007661CC"/>
    <w:rsid w:val="007839AC"/>
    <w:rsid w:val="00790CE7"/>
    <w:rsid w:val="00794D26"/>
    <w:rsid w:val="007A0F98"/>
    <w:rsid w:val="007A62FC"/>
    <w:rsid w:val="007A6CEE"/>
    <w:rsid w:val="007B0E2D"/>
    <w:rsid w:val="007D09F8"/>
    <w:rsid w:val="0080525B"/>
    <w:rsid w:val="00812E12"/>
    <w:rsid w:val="008252E6"/>
    <w:rsid w:val="00842C97"/>
    <w:rsid w:val="00845E50"/>
    <w:rsid w:val="00862307"/>
    <w:rsid w:val="008639D0"/>
    <w:rsid w:val="008709CE"/>
    <w:rsid w:val="008A25C5"/>
    <w:rsid w:val="008B0861"/>
    <w:rsid w:val="008C5AB4"/>
    <w:rsid w:val="008E45C9"/>
    <w:rsid w:val="008E6A77"/>
    <w:rsid w:val="008F5E7E"/>
    <w:rsid w:val="0093146D"/>
    <w:rsid w:val="00932A63"/>
    <w:rsid w:val="009924CC"/>
    <w:rsid w:val="009A19B4"/>
    <w:rsid w:val="009B20FE"/>
    <w:rsid w:val="009C1DE8"/>
    <w:rsid w:val="009C1F3E"/>
    <w:rsid w:val="009C3025"/>
    <w:rsid w:val="009D7D1D"/>
    <w:rsid w:val="00A010A8"/>
    <w:rsid w:val="00A050F1"/>
    <w:rsid w:val="00A3521B"/>
    <w:rsid w:val="00A74E29"/>
    <w:rsid w:val="00A75D48"/>
    <w:rsid w:val="00A83BED"/>
    <w:rsid w:val="00A8582E"/>
    <w:rsid w:val="00A96760"/>
    <w:rsid w:val="00AA4B68"/>
    <w:rsid w:val="00AB57A6"/>
    <w:rsid w:val="00AB5C04"/>
    <w:rsid w:val="00AE5610"/>
    <w:rsid w:val="00AF6975"/>
    <w:rsid w:val="00B14126"/>
    <w:rsid w:val="00B25ACA"/>
    <w:rsid w:val="00B5733F"/>
    <w:rsid w:val="00B66801"/>
    <w:rsid w:val="00B673E1"/>
    <w:rsid w:val="00B67CC2"/>
    <w:rsid w:val="00B803DA"/>
    <w:rsid w:val="00BB742B"/>
    <w:rsid w:val="00BC464B"/>
    <w:rsid w:val="00BC4FC8"/>
    <w:rsid w:val="00BE2F9F"/>
    <w:rsid w:val="00BF1F56"/>
    <w:rsid w:val="00C129CF"/>
    <w:rsid w:val="00C559B4"/>
    <w:rsid w:val="00C611AC"/>
    <w:rsid w:val="00C62C27"/>
    <w:rsid w:val="00C85EE9"/>
    <w:rsid w:val="00C9175C"/>
    <w:rsid w:val="00C97344"/>
    <w:rsid w:val="00D21E36"/>
    <w:rsid w:val="00D2680E"/>
    <w:rsid w:val="00D546CF"/>
    <w:rsid w:val="00D66C16"/>
    <w:rsid w:val="00D76281"/>
    <w:rsid w:val="00D80529"/>
    <w:rsid w:val="00D811EF"/>
    <w:rsid w:val="00DA06EB"/>
    <w:rsid w:val="00DA6234"/>
    <w:rsid w:val="00DB1055"/>
    <w:rsid w:val="00DB6A81"/>
    <w:rsid w:val="00DC2782"/>
    <w:rsid w:val="00DD04CA"/>
    <w:rsid w:val="00DD26EA"/>
    <w:rsid w:val="00DD52B6"/>
    <w:rsid w:val="00DE21A5"/>
    <w:rsid w:val="00E115A8"/>
    <w:rsid w:val="00E3347D"/>
    <w:rsid w:val="00E35F7D"/>
    <w:rsid w:val="00E47E7B"/>
    <w:rsid w:val="00E5432F"/>
    <w:rsid w:val="00E978D8"/>
    <w:rsid w:val="00EA190D"/>
    <w:rsid w:val="00EB73F0"/>
    <w:rsid w:val="00ED1728"/>
    <w:rsid w:val="00EE66DE"/>
    <w:rsid w:val="00F201F7"/>
    <w:rsid w:val="00F50C8F"/>
    <w:rsid w:val="00F62460"/>
    <w:rsid w:val="00F6328A"/>
    <w:rsid w:val="00F9328B"/>
    <w:rsid w:val="00FB3A97"/>
    <w:rsid w:val="00FB6CA3"/>
    <w:rsid w:val="00FC7A9E"/>
    <w:rsid w:val="00FE1CD0"/>
    <w:rsid w:val="03E7463F"/>
    <w:rsid w:val="042B62EA"/>
    <w:rsid w:val="06EF4151"/>
    <w:rsid w:val="0BF8721B"/>
    <w:rsid w:val="13641CD4"/>
    <w:rsid w:val="142C71F8"/>
    <w:rsid w:val="144C5024"/>
    <w:rsid w:val="18740B61"/>
    <w:rsid w:val="1D0B3E7D"/>
    <w:rsid w:val="20FA5497"/>
    <w:rsid w:val="2738101A"/>
    <w:rsid w:val="276D4301"/>
    <w:rsid w:val="2C995E57"/>
    <w:rsid w:val="2D733DA0"/>
    <w:rsid w:val="2FFA609C"/>
    <w:rsid w:val="33082A8B"/>
    <w:rsid w:val="3B4F71C0"/>
    <w:rsid w:val="3CC44391"/>
    <w:rsid w:val="3FE7198A"/>
    <w:rsid w:val="42943C76"/>
    <w:rsid w:val="48A53FD3"/>
    <w:rsid w:val="492A20BF"/>
    <w:rsid w:val="4AC52E1A"/>
    <w:rsid w:val="52B453CE"/>
    <w:rsid w:val="545F7685"/>
    <w:rsid w:val="55E256B4"/>
    <w:rsid w:val="57292504"/>
    <w:rsid w:val="5B1C49F2"/>
    <w:rsid w:val="5DE41752"/>
    <w:rsid w:val="5E625E56"/>
    <w:rsid w:val="5F0A16EB"/>
    <w:rsid w:val="61032984"/>
    <w:rsid w:val="61EA2722"/>
    <w:rsid w:val="636A0349"/>
    <w:rsid w:val="638964BA"/>
    <w:rsid w:val="654556E5"/>
    <w:rsid w:val="697908D8"/>
    <w:rsid w:val="6A180375"/>
    <w:rsid w:val="6B7F56EE"/>
    <w:rsid w:val="6BF428A6"/>
    <w:rsid w:val="6F0410DC"/>
    <w:rsid w:val="70776964"/>
    <w:rsid w:val="73B460F0"/>
    <w:rsid w:val="752861DD"/>
    <w:rsid w:val="79EA3CBF"/>
    <w:rsid w:val="7A065B24"/>
    <w:rsid w:val="7BA4330F"/>
    <w:rsid w:val="7BB379FF"/>
    <w:rsid w:val="7E1A5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2"/>
    <w:qFormat/>
    <w:uiPriority w:val="9"/>
    <w:pPr>
      <w:keepNext/>
      <w:tabs>
        <w:tab w:val="left" w:pos="200"/>
      </w:tabs>
      <w:jc w:val="center"/>
      <w:outlineLvl w:val="0"/>
    </w:pPr>
    <w:rPr>
      <w:rFonts w:ascii="宋体" w:hAnsi="宋体"/>
      <w:b/>
      <w:sz w:val="36"/>
    </w:rPr>
  </w:style>
  <w:style w:type="character" w:default="1" w:styleId="10">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3">
    <w:name w:val="Body Text"/>
    <w:basedOn w:val="1"/>
    <w:link w:val="19"/>
    <w:semiHidden/>
    <w:unhideWhenUsed/>
    <w:qFormat/>
    <w:uiPriority w:val="99"/>
    <w:pPr>
      <w:spacing w:line="360" w:lineRule="auto"/>
      <w:ind w:firstLine="200" w:firstLineChars="200"/>
    </w:pPr>
    <w:rPr>
      <w:sz w:val="24"/>
      <w:szCs w:val="24"/>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qFormat/>
    <w:uiPriority w:val="0"/>
    <w:rPr>
      <w:b/>
      <w:bCs/>
    </w:rPr>
  </w:style>
  <w:style w:type="character" w:customStyle="1" w:styleId="12">
    <w:name w:val="标题 1 字符"/>
    <w:basedOn w:val="10"/>
    <w:link w:val="2"/>
    <w:qFormat/>
    <w:uiPriority w:val="9"/>
    <w:rPr>
      <w:rFonts w:ascii="宋体" w:hAnsi="宋体" w:eastAsia="宋体" w:cs="Times New Roman"/>
      <w:b/>
      <w:sz w:val="36"/>
      <w:szCs w:val="20"/>
    </w:rPr>
  </w:style>
  <w:style w:type="character" w:customStyle="1" w:styleId="13">
    <w:name w:val="页眉 字符"/>
    <w:basedOn w:val="10"/>
    <w:link w:val="6"/>
    <w:qFormat/>
    <w:uiPriority w:val="99"/>
    <w:rPr>
      <w:rFonts w:ascii="Times New Roman" w:hAnsi="Times New Roman" w:eastAsia="宋体" w:cs="Times New Roman"/>
      <w:sz w:val="18"/>
      <w:szCs w:val="18"/>
    </w:rPr>
  </w:style>
  <w:style w:type="character" w:customStyle="1" w:styleId="14">
    <w:name w:val="页脚 字符"/>
    <w:basedOn w:val="10"/>
    <w:link w:val="5"/>
    <w:qFormat/>
    <w:uiPriority w:val="99"/>
    <w:rPr>
      <w:rFonts w:ascii="Times New Roman" w:hAnsi="Times New Roman" w:eastAsia="宋体" w:cs="Times New Roman"/>
      <w:sz w:val="18"/>
      <w:szCs w:val="18"/>
    </w:rPr>
  </w:style>
  <w:style w:type="character" w:customStyle="1" w:styleId="15">
    <w:name w:val="批注框文本 字符"/>
    <w:basedOn w:val="10"/>
    <w:link w:val="4"/>
    <w:semiHidden/>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 Spacing Char"/>
    <w:basedOn w:val="10"/>
    <w:link w:val="18"/>
    <w:qFormat/>
    <w:uiPriority w:val="0"/>
    <w:rPr>
      <w:rFonts w:hint="default" w:ascii="Calibri" w:hAnsi="Calibri" w:cs="Calibri"/>
      <w:sz w:val="22"/>
      <w:szCs w:val="22"/>
      <w:lang w:eastAsia="en-US"/>
    </w:rPr>
  </w:style>
  <w:style w:type="paragraph" w:customStyle="1" w:styleId="18">
    <w:name w:val="无间隔1"/>
    <w:basedOn w:val="1"/>
    <w:link w:val="17"/>
    <w:qFormat/>
    <w:uiPriority w:val="0"/>
    <w:pPr>
      <w:widowControl/>
      <w:jc w:val="left"/>
    </w:pPr>
    <w:rPr>
      <w:rFonts w:ascii="Calibri" w:hAnsi="Calibri"/>
      <w:kern w:val="0"/>
      <w:sz w:val="22"/>
      <w:szCs w:val="22"/>
    </w:rPr>
  </w:style>
  <w:style w:type="character" w:customStyle="1" w:styleId="19">
    <w:name w:val="正文文本 字符"/>
    <w:basedOn w:val="10"/>
    <w:link w:val="3"/>
    <w:qFormat/>
    <w:uiPriority w:val="0"/>
    <w:rPr>
      <w:kern w:val="2"/>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8D20FB-C523-4510-A2E1-195EFB5AE3D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307</Words>
  <Characters>1756</Characters>
  <Lines>14</Lines>
  <Paragraphs>4</Paragraphs>
  <TotalTime>42</TotalTime>
  <ScaleCrop>false</ScaleCrop>
  <LinksUpToDate>false</LinksUpToDate>
  <CharactersWithSpaces>2059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2026-01-14T03:13:00Z</dcterms:created>
  <dc:creator>刘清华</dc:creator>
  <cp:lastModifiedBy>一束光</cp:lastModifiedBy>
  <cp:lastPrinted>2026-01-14T06:13:00Z</cp:lastPrinted>
  <dcterms:modified xsi:type="dcterms:W3CDTF">2026-02-09T12:32:41Z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KSOTemplateDocerSaveRecord">
    <vt:lpwstr>eyJoZGlkIjoiODA1ZGM5OGI4MTU1NmNlMTcxYTM5MWVlY2Y5YTk4ZTMiLCJ1c2VySWQiOiI5MjM1MDg3MTQifQ==</vt:lpwstr>
  </property>
  <property fmtid="{D5CDD505-2E9C-101B-9397-08002B2CF9AE}" pid="4" name="ICV">
    <vt:lpwstr>96704BD82CAB4B7FBF15045F7604C48A_13</vt:lpwstr>
  </property>
</Properties>
</file>